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</w:p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A37A4B" w:rsidRPr="001421A9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55</w:t>
      </w:r>
    </w:p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大方廣佛華嚴經</w:t>
      </w:r>
    </w:p>
    <w:p w:rsidR="000A178F" w:rsidRPr="001421A9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1421A9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(</w:t>
      </w:r>
      <w:r w:rsidRPr="001421A9">
        <w:rPr>
          <w:rFonts w:ascii="DFKai-SB" w:eastAsia="DFKai-SB" w:hAnsi="DFKai-SB" w:cs="Calibri" w:hint="eastAsia"/>
          <w:b/>
          <w:bCs/>
          <w:noProof w:val="0"/>
          <w:sz w:val="28"/>
          <w:szCs w:val="28"/>
          <w:lang w:val="en-US"/>
        </w:rPr>
        <w:t>十一）淨行品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2005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Bửu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</w:p>
    <w:p w:rsidR="000A178F" w:rsidRDefault="000A178F" w:rsidP="00A37A4B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szCs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duyệt: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Tiến</w:t>
      </w:r>
    </w:p>
    <w:p w:rsidR="00E868BF" w:rsidRPr="00A37A4B" w:rsidRDefault="00E868BF" w:rsidP="00E868BF">
      <w:pPr>
        <w:spacing w:line="240" w:lineRule="auto"/>
        <w:rPr>
          <w:rFonts w:ascii="Times New Roman" w:eastAsia="Times New Roman" w:hAnsi="Times New Roman"/>
          <w:noProof w:val="0"/>
          <w:sz w:val="28"/>
          <w:lang w:val="en-US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1571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tư: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thọ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cúng.</w:t>
      </w:r>
    </w:p>
    <w:p w:rsidR="000A178F" w:rsidRPr="00A37A4B" w:rsidRDefault="000A178F" w:rsidP="00A37A4B">
      <w:pPr>
        <w:spacing w:line="235" w:lineRule="atLeast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見佛塔時。當願眾生。尊重如塔。受天人供。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cúng).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“Tháp”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塔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rệt.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“địa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tiêu”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地標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vùng).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Thủy.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Thủy,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thọ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cúng”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“cúng”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供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“thọ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cúng”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“tôn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trọng”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尊重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“tự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“Tôn”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尊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“trọng”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重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hậu.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“trung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hậu,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lastRenderedPageBreak/>
        <w:t>lão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thành”;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sơ,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lành).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ta.</w:t>
      </w:r>
    </w:p>
    <w:p w:rsidR="00A37A4B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“Minh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mũi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“tiền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thức”,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gộp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藏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“bao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hàm”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mũi,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tu-la,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người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đó],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(hạt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giống)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bón,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đẹp.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cặn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kẽ.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cặn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lớn: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親因緣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所緣緣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3)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無間緣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4)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增上緣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lọt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nuôi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chừng.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chừng,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triệt.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rệt.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sẫm,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“sanh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Bàn,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“tôn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“cao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hiển”.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ngưỡng;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tội,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lợi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(mưu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rằng: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í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nghĩ],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chửi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chửi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mũi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hẳn,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lastRenderedPageBreak/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miệng,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dẹp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thuyền?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chiếc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chừng,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vùi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1)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nhắc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đôi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chút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đủ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rồi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2)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“nghiệp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nề”.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Ắ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3)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Ắ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chấn: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作證轉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giàu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trỗi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bệnh,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muồi!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duyên”.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xúc,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hữu: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tôi?”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“nhược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nhật”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“nhược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nhật”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niệm]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“hễ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linh”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thưa: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ạ!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“Được!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hợp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lỳ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0A178F" w:rsidRPr="00A37A4B" w:rsidRDefault="000A178F" w:rsidP="00A37A4B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theo: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A37A4B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Kính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quán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tháp,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chư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thiên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cập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nhân,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cộng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chiêm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="000A178F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ngưỡng.</w:t>
      </w:r>
    </w:p>
    <w:p w:rsidR="000A178F" w:rsidRPr="00A37A4B" w:rsidRDefault="000A178F" w:rsidP="00A37A4B">
      <w:pPr>
        <w:spacing w:line="235" w:lineRule="atLeast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敬心觀塔。當願眾生。諸天及人。所共瞻仰。</w:t>
      </w:r>
    </w:p>
    <w:p w:rsidR="000A178F" w:rsidRPr="00A37A4B" w:rsidRDefault="000A178F" w:rsidP="00A37A4B">
      <w:pPr>
        <w:spacing w:line="235" w:lineRule="atLeast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nhau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chiêm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ngưỡng).</w:t>
      </w:r>
    </w:p>
    <w:p w:rsidR="00A37A4B" w:rsidRPr="00A37A4B" w:rsidRDefault="00A37A4B" w:rsidP="00A37A4B">
      <w:pPr>
        <w:spacing w:line="235" w:lineRule="atLeast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“Tháp”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“Kính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quán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cập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cộng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chiêm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ngưỡng”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ngưỡng).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ngưỡng?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gỡ,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“kiến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nối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mạng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khởi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kỷ”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Bỉnh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niềm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(Vancouver)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(San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Francisco),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(Los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Angeles).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ngoái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gian.</w:t>
      </w:r>
    </w:p>
    <w:p w:rsidR="00A37A4B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“tức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nước)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đẹp.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lùi.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Thoái?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lai).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phối]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“Nếu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vật,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ắt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ké.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ngấm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cõi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“Tình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dữ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tình,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hủng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rí”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đòi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dặn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nhớ,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“Thọ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tụng,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diễn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nói”.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“Tiếp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nhận”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tích.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đậu,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luôn!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lớn]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[sang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"/>
        </w:rPr>
        <w:t>Pāḷi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[sang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Hàm]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Kheo,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Hoa]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giàu,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vùi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tồn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gian]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mảy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may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nghĩa”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hiếm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khoa-khắc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(quark,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(nucleus),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(particles).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trần”.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rút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lọt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ngoài,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trong”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“lớn,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hể.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“mười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lực,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úy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thế”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ngưỡng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sáu: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Đảnh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ư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đảnh.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頂禮於塔。當願眾生。一切天人。無能見頂。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Đảnh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đỉnh).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đỉnh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đỉnh.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“Đảnh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(đảnh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chép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án”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公案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)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chép,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Ngọ,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Hè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đù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ơi!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mốc”.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đèn,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rượng: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ấy?”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lạy!”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thơ,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chóng.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nghiễm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mang!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“đảnh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miệng.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“chỉ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ngữ”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止語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tĩnh,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chừng.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sâu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“sanh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tại”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vậy],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tựu,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dài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lâu”.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tu]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nghênh,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cố,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mấy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      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Chuyện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cứu”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miếu,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[hỏi]: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H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oàn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Chuyện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cứu”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đẹp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đây.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1572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Tụng,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bảy: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ư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nghịch,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Trí.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右繞於塔。當願眾生。所行無逆。成一切智。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trái,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Trí).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nhiễu”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右繞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“Hữu”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“thuận”,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gồm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ắ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tuốt.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“Trong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cửa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ai”.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trì”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ngấm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nay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Ngài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mỉ,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miệng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[mà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nâng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mình]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đấy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“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diệt.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“Đấy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Lai”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khác],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Vượt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(Prince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Edward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Road)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nghịch”.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“Tịnh”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“thiện”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dầy,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phủ!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“chuyển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trí”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hẹp.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tuyệt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rồi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“thế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giới”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sẵn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có);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ấy].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nâng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khuếch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khuếch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cấp.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Cửu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hảo”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“lánh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nạn”.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“địa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trống,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thề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通號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“hiếu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sư”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sơ,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cận,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viễn,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cẩu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thiên,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dĩ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chuyên”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lành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dỗ,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“phụ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“quân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nghĩa,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phụ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trưởng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ấu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tự,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tín”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hiếu”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“Thiên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sư”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“quân”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君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親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giữa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con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em,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khuếch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thương”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“Hòa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thuận”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nghịch”.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“sở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nghịch”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hỗn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hỗn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mịt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mù.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xanh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trắng;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hỗn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hỗn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khoảng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mịt,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hẳn.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mịt.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“cảm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núi,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mịt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tú,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hậu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lửa,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lửa.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lửa,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nguồn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núi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lốc,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người?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nhằm]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luyến,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mỹ,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mỹ,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“chân,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mỹ,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huệ”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“Bổn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khác],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dỗ]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lớn: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1)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“nghe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mười,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ngàn”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bậc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2)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3)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Hùng.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thiết],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thật?”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br/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kể: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Quân)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bệnh!</w:t>
      </w:r>
    </w:p>
    <w:p w:rsidR="00A37A4B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dầy,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cụ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chuỗi,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xóm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nhé!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tùy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riêng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phút.</w:t>
      </w:r>
    </w:p>
    <w:p w:rsidR="000A178F" w:rsidRPr="00A37A4B" w:rsidRDefault="000A178F" w:rsidP="00A37A4B">
      <w:pPr>
        <w:spacing w:line="240" w:lineRule="auto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***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tám:</w:t>
      </w:r>
    </w:p>
    <w:p w:rsidR="00D77102" w:rsidRPr="00A37A4B" w:rsidRDefault="00D77102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A37A4B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</w:pP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(Kinh)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táp,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hiết.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(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經</w:t>
      </w:r>
      <w:r w:rsidRPr="00A37A4B">
        <w:rPr>
          <w:rFonts w:ascii="Times New Roman" w:eastAsia="Times New Roman" w:hAnsi="Times New Roman"/>
          <w:b/>
          <w:bCs/>
          <w:noProof w:val="0"/>
          <w:sz w:val="32"/>
          <w:szCs w:val="32"/>
        </w:rPr>
        <w:t>)</w:t>
      </w:r>
      <w:r w:rsidRPr="00A37A4B">
        <w:rPr>
          <w:rFonts w:ascii="DFKai-SB" w:eastAsia="DFKai-SB" w:hAnsi="DFKai-SB" w:cs="Calibri" w:hint="eastAsia"/>
          <w:b/>
          <w:bCs/>
          <w:noProof w:val="0"/>
          <w:sz w:val="32"/>
          <w:szCs w:val="32"/>
          <w:lang w:val="en-US"/>
        </w:rPr>
        <w:t>繞塔三匝。當願眾生。勤求佛道。心無懈歇。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b/>
          <w:bCs/>
          <w:i/>
          <w:iCs/>
          <w:noProof w:val="0"/>
          <w:sz w:val="28"/>
          <w:szCs w:val="28"/>
        </w:rPr>
        <w:t>Kinh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: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vòng,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siêng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biếng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trễ).</w:t>
      </w:r>
    </w:p>
    <w:p w:rsidR="00A37A4B" w:rsidRPr="00A37A4B" w:rsidRDefault="00A37A4B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nhớ: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đắ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nắm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等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“Bằng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với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nữa,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đỉnh.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“Nhiễu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tháp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vòng”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ngẫm,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“đương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hiết”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siêng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trễ).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“Giải”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懈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“hiết”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DFKai-SB" w:eastAsia="DFKai-SB" w:hAnsi="DFKai-SB" w:cs="Calibri" w:hint="eastAsia"/>
          <w:noProof w:val="0"/>
          <w:sz w:val="28"/>
          <w:szCs w:val="28"/>
          <w:lang w:val="en-US"/>
        </w:rPr>
        <w:t>歇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ngơi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ngơi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“như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thuyền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ngược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nước,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tiến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ắt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lùi”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lâu?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gồm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món;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món!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xứng.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chiếm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ngừa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chấm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ngặt,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ngặt.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“Trước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tròn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tuổi,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lẫn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ca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phú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thư”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xấu.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tà”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vạy),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ngặt,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bại?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soi.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sách)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siêng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ngặt.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đình.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hòa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“kiến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quốc,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quân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dân,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bổn,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tiên”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(xây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gốc,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truyền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vĩnh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viễn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hờn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“Hành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đắc,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kỷ”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xét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lỗi,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hờn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được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tầng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đậm,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ấy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giờ,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Thọ,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Nam-mô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xem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sáng]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rưỡi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xá-lợi.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dặn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dò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cẩn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“cần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hiết”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(siêng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trễ),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mê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đảo,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mứu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“Phàm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hư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vọng”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nặng!”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hồi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hoàng!</w:t>
      </w:r>
    </w:p>
    <w:p w:rsidR="00A37A4B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szCs w:val="28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chép,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nổi,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kỹ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Pr="00A37A4B">
        <w:rPr>
          <w:rStyle w:val="FootnoteReference"/>
          <w:rFonts w:ascii="Times New Roman" w:eastAsia="Times New Roman" w:hAnsi="Times New Roman"/>
          <w:noProof w:val="0"/>
          <w:sz w:val="28"/>
          <w:szCs w:val="28"/>
        </w:rPr>
        <w:footnoteReference w:id="1"/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rộng,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Lịch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rõ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mỉ.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Oánh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tấn?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ngẫm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kỹ,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khởi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khéo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lừa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chớp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mắt,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đích,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lạc.Vào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thoát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(spiritual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medium).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gặp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quen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trạng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đồng,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nỗ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nỗi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ngục;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quỷ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tin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tưởng,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gây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kia.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nạn.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“quý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khiếu”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hóa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hiểu,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niệm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phước.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Thừa,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riêng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Thiền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“minh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“đại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  <w:lang w:val="en-US"/>
        </w:rPr>
        <w:t>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;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nghĩa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triệt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chứ!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vọng.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vụ,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lìa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sóc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hiền.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lực,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đẹp,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khiếm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khuyết.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theo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“tập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gây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ngại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Tánh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Đức”.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tiếp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nề,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thực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Dẫu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lưu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luyến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chịu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bệnh.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gốc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bệnh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tấn,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tâm,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bỏ!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xả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hết,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đấy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sử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ph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lãnh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xuống.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già,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cụ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vả,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bóp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Sử.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thích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điển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hết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?”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còn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trẻ,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lĩnh,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hận,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biết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“Thưa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lai,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nghe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liệu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lùng,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sớ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cổ,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hễ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nhắc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bảo: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“Lạ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ấy?”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tưởng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thành,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ắt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ứng”.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tỉnh,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tìm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nghiệp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chướng,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tiền.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hữu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huấn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trăm.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buông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xả.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phòng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trẻ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khảo.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phú,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Tứ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Yếu.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bản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nhau.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mà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muốn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chốn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tưởng.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túy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chuyện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tiêu.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chánh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Úc,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vẫn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coi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Nhìn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nói: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bọn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thuộc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thuật,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thành!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Thuở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đăng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k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ý,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mặc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phục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nhiều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“họ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toàn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hành,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khác”.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hệ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sức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chặt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chủ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động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quá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  <w:lang w:val="en-US"/>
        </w:rPr>
        <w:t>lớn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lớp.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[Danh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hiệu]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ai?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trưởng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thượng,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hưu,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tặng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trọng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nhằm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cống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nghị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tọa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trường,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tham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những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hội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ấy,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cùng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nghiên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cứu,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luận.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hỏi,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giúp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đáp.</w:t>
      </w:r>
    </w:p>
    <w:p w:rsidR="000A178F" w:rsidRPr="00A37A4B" w:rsidRDefault="000A178F" w:rsidP="00A37A4B">
      <w:pPr>
        <w:spacing w:line="240" w:lineRule="auto"/>
        <w:ind w:firstLine="720"/>
        <w:jc w:val="both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liễu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của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một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dạy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sách.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Mãi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miếu,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xuất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chùa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miếu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Từ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Quang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Quán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Trung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Lý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mở,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ở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năm.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Chính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mình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suốt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bèn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đó.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xong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ra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khá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lắm,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mời,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khắp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thế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giới.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Châu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cũng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vì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đồng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(các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sư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pháp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danh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bắt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bằng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Ngộ).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khỏi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Đài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Loan,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đạo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tràng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cố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định,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mọi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người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cảm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thấy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bất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tiện,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rất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đau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khổ.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Do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vậy,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kiến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viện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lúc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tuổi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già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thân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lập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mạng,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chỗ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thật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sự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dụng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tập.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Ngoại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duyên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thảy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đều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đầy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đủ,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chỉ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cần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họ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thể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làm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được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tám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chữ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này,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“cần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cầu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đạo,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tâm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vô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giải</w:t>
      </w:r>
      <w:r w:rsidR="00A37A4B"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i/>
          <w:iCs/>
          <w:noProof w:val="0"/>
          <w:sz w:val="28"/>
          <w:szCs w:val="28"/>
        </w:rPr>
        <w:t>hiết”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chẳng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có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không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thành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tựu.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A!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Hôm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nay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đã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hết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thời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gian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rồi,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chúng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tôi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giảng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tới</w:t>
      </w:r>
      <w:r w:rsidR="00A37A4B" w:rsidRPr="00A37A4B">
        <w:rPr>
          <w:rFonts w:ascii="Times New Roman" w:eastAsia="Times New Roman" w:hAnsi="Times New Roman"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noProof w:val="0"/>
          <w:sz w:val="28"/>
          <w:szCs w:val="28"/>
        </w:rPr>
        <w:t>đây!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Đại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Phương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Quảng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Phật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Hoa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Nghiêm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Kinh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thứ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mười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một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Tịnh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Hạnh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Phẩm</w:t>
      </w:r>
    </w:p>
    <w:p w:rsidR="000A178F" w:rsidRPr="00A37A4B" w:rsidRDefault="000A178F" w:rsidP="00A37A4B">
      <w:pPr>
        <w:spacing w:line="235" w:lineRule="atLeast"/>
        <w:jc w:val="center"/>
        <w:rPr>
          <w:rFonts w:ascii="Times New Roman" w:eastAsia="Times New Roman" w:hAnsi="Times New Roman"/>
          <w:noProof w:val="0"/>
          <w:sz w:val="28"/>
          <w:lang w:val="en-US"/>
        </w:rPr>
      </w:pP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>Phần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  <w:lang w:val="en-US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55</w:t>
      </w:r>
      <w:r w:rsidR="00A37A4B"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 xml:space="preserve"> </w:t>
      </w:r>
      <w:r w:rsidRPr="00A37A4B">
        <w:rPr>
          <w:rFonts w:ascii="Times New Roman" w:eastAsia="Times New Roman" w:hAnsi="Times New Roman"/>
          <w:b/>
          <w:bCs/>
          <w:noProof w:val="0"/>
          <w:sz w:val="28"/>
          <w:szCs w:val="28"/>
        </w:rPr>
        <w:t>hết</w:t>
      </w:r>
    </w:p>
    <w:sectPr w:rsidR="000A178F" w:rsidRPr="00A37A4B" w:rsidSect="00286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6514" w:rsidRDefault="00286514">
      <w:pPr>
        <w:spacing w:line="240" w:lineRule="auto"/>
      </w:pPr>
      <w:r>
        <w:separator/>
      </w:r>
    </w:p>
  </w:endnote>
  <w:endnote w:type="continuationSeparator" w:id="0">
    <w:p w:rsidR="00286514" w:rsidRDefault="00286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Pr="00176E36" w:rsidRDefault="00176E36" w:rsidP="00176E3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6514" w:rsidRDefault="00286514">
      <w:pPr>
        <w:spacing w:line="240" w:lineRule="auto"/>
      </w:pPr>
      <w:r>
        <w:separator/>
      </w:r>
    </w:p>
  </w:footnote>
  <w:footnote w:type="continuationSeparator" w:id="0">
    <w:p w:rsidR="00286514" w:rsidRDefault="00286514">
      <w:pPr>
        <w:spacing w:line="240" w:lineRule="auto"/>
      </w:pPr>
      <w:r>
        <w:continuationSeparator/>
      </w:r>
    </w:p>
  </w:footnote>
  <w:footnote w:id="1">
    <w:p w:rsidR="000A178F" w:rsidRPr="000A178F" w:rsidRDefault="000A178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A37A4B"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Tương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Ngọc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Lịch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Bảo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Sao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</w:t>
      </w:r>
      <w:r w:rsidRPr="000A178F">
        <w:rPr>
          <w:rFonts w:ascii="DFKai-SB" w:eastAsia="DFKai-SB" w:hAnsi="DFKai-SB" w:cs="Calibri" w:hint="eastAsia"/>
          <w:noProof w:val="0"/>
          <w:color w:val="000000"/>
          <w:sz w:val="24"/>
          <w:szCs w:val="24"/>
          <w:lang w:val="en-US"/>
        </w:rPr>
        <w:t>玉曆寶鈔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)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Tống,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nhân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Đạm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các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vị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thần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tiên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thụ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sách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này.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Thiện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thư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được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lưu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hành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rất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rộng,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tăng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  <w:lang w:val="en-US"/>
        </w:rPr>
        <w:t>bổ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dưới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Thanh.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Sách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dạy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về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những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sự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ứng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trong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địa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ngục,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nhân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quả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báo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ứng.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Theo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khảo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chứng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của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Lý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Mẫn,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nhân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Đạm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người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nước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Liêu,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biên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tập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sách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này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năm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Thái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Bình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mười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(1030)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Liêu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Thánh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Tôn,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truyền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cho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đệ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tử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là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đạo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nhân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Vật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Mê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khắc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in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vào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năm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Thiệu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Thánh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thứ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năm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(1098)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đời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Tống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Triết</w:t>
      </w:r>
      <w:r w:rsidR="00A37A4B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 xml:space="preserve"> </w:t>
      </w:r>
      <w:r w:rsidRPr="000A178F">
        <w:rPr>
          <w:rFonts w:ascii="Times New Roman" w:eastAsia="Times New Roman" w:hAnsi="Times New Roman"/>
          <w:noProof w:val="0"/>
          <w:color w:val="000000"/>
          <w:sz w:val="24"/>
          <w:szCs w:val="24"/>
        </w:rPr>
        <w:t>Tông.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6E36" w:rsidRDefault="00176E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5A2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33905"/>
    <w:multiLevelType w:val="hybridMultilevel"/>
    <w:tmpl w:val="45925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4226873">
    <w:abstractNumId w:val="0"/>
  </w:num>
  <w:num w:numId="2" w16cid:durableId="212730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36"/>
    <w:rsid w:val="0009103D"/>
    <w:rsid w:val="000A178F"/>
    <w:rsid w:val="001421A9"/>
    <w:rsid w:val="00176E36"/>
    <w:rsid w:val="001F5C9B"/>
    <w:rsid w:val="00286514"/>
    <w:rsid w:val="002D3362"/>
    <w:rsid w:val="00570D28"/>
    <w:rsid w:val="006127A1"/>
    <w:rsid w:val="006272D1"/>
    <w:rsid w:val="0066152B"/>
    <w:rsid w:val="00693436"/>
    <w:rsid w:val="00702CE8"/>
    <w:rsid w:val="007E1BA6"/>
    <w:rsid w:val="007E71F4"/>
    <w:rsid w:val="00814C01"/>
    <w:rsid w:val="0097746E"/>
    <w:rsid w:val="00A37A4B"/>
    <w:rsid w:val="00BA4188"/>
    <w:rsid w:val="00BD3B9B"/>
    <w:rsid w:val="00BF3E5D"/>
    <w:rsid w:val="00C45A07"/>
    <w:rsid w:val="00CB439B"/>
    <w:rsid w:val="00CF56D8"/>
    <w:rsid w:val="00D77102"/>
    <w:rsid w:val="00E80B0B"/>
    <w:rsid w:val="00E868BF"/>
    <w:rsid w:val="00FB569D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C46FF51-B50B-47C6-85E9-110E4D44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C45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333333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tgc">
    <w:name w:val="_tgc"/>
  </w:style>
  <w:style w:type="character" w:customStyle="1" w:styleId="st1">
    <w:name w:val="st1"/>
    <w:basedOn w:val="DefaultParagraphFont"/>
    <w:rsid w:val="00CB439B"/>
  </w:style>
  <w:style w:type="character" w:styleId="Hyperlink">
    <w:name w:val="Hyperlink"/>
    <w:uiPriority w:val="99"/>
    <w:unhideWhenUsed/>
    <w:rsid w:val="00CB439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B439B"/>
    <w:rPr>
      <w:color w:val="800080"/>
      <w:u w:val="single"/>
    </w:rPr>
  </w:style>
  <w:style w:type="character" w:styleId="Emphasis">
    <w:name w:val="Emphasis"/>
    <w:uiPriority w:val="20"/>
    <w:qFormat/>
    <w:rsid w:val="00CF56D8"/>
    <w:rPr>
      <w:i/>
      <w:iCs/>
    </w:rPr>
  </w:style>
  <w:style w:type="character" w:customStyle="1" w:styleId="Heading1Char">
    <w:name w:val="Heading 1 Char"/>
    <w:link w:val="Heading1"/>
    <w:uiPriority w:val="9"/>
    <w:rsid w:val="00C45A07"/>
    <w:rPr>
      <w:rFonts w:ascii="Times New Roman" w:eastAsia="Times New Roman" w:hAnsi="Times New Roman" w:cs="Times New Roman"/>
      <w:b/>
      <w:bCs/>
      <w:noProof/>
      <w:color w:val="333333"/>
      <w:kern w:val="36"/>
      <w:sz w:val="48"/>
      <w:szCs w:val="48"/>
      <w:lang w:val="vi-VN"/>
    </w:rPr>
  </w:style>
  <w:style w:type="character" w:customStyle="1" w:styleId="watch-title">
    <w:name w:val="watch-title"/>
    <w:rsid w:val="00C45A07"/>
    <w:rPr>
      <w:sz w:val="24"/>
      <w:szCs w:val="24"/>
    </w:rPr>
  </w:style>
  <w:style w:type="character" w:customStyle="1" w:styleId="titletitle">
    <w:name w:val="title_title"/>
    <w:rsid w:val="00C45A07"/>
  </w:style>
  <w:style w:type="character" w:customStyle="1" w:styleId="unicode">
    <w:name w:val="unicode"/>
    <w:rsid w:val="00C45A07"/>
  </w:style>
  <w:style w:type="character" w:styleId="BookTitle">
    <w:name w:val="Book Title"/>
    <w:uiPriority w:val="33"/>
    <w:qFormat/>
    <w:rsid w:val="00C45A07"/>
    <w:rPr>
      <w:b/>
      <w:bCs/>
      <w:i/>
      <w:iC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5A07"/>
    <w:pPr>
      <w:suppressAutoHyphens/>
      <w:spacing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EndnoteTextChar">
    <w:name w:val="Endnote Text Char"/>
    <w:link w:val="EndnoteText"/>
    <w:uiPriority w:val="99"/>
    <w:semiHidden/>
    <w:rsid w:val="00C45A07"/>
    <w:rPr>
      <w:rFonts w:ascii="Times New Roman" w:eastAsia="SimSun" w:hAnsi="Times New Roman" w:cs="Times New Roman"/>
      <w:noProof/>
      <w:lang w:val="vi-VN" w:eastAsia="zh-CN"/>
    </w:rPr>
  </w:style>
  <w:style w:type="character" w:styleId="EndnoteReference">
    <w:name w:val="endnote reference"/>
    <w:uiPriority w:val="99"/>
    <w:semiHidden/>
    <w:unhideWhenUsed/>
    <w:rsid w:val="00C45A07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C45A07"/>
    <w:pPr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45A07"/>
    <w:rPr>
      <w:rFonts w:cs="Times New Roman"/>
      <w:i/>
      <w:iCs/>
      <w:noProof/>
      <w:color w:val="404040"/>
      <w:sz w:val="22"/>
      <w:szCs w:val="22"/>
      <w:lang w:val="vi-VN"/>
    </w:rPr>
  </w:style>
  <w:style w:type="character" w:customStyle="1" w:styleId="auto-style1">
    <w:name w:val="auto-style1"/>
    <w:rsid w:val="00C4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6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14392</Words>
  <Characters>82038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